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/>
        <w:t>Аннотация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рабочей</w:t>
      </w:r>
      <w:r>
        <w:rPr>
          <w:spacing w:val="-8"/>
        </w:rPr>
        <w:t> </w:t>
      </w:r>
      <w:r>
        <w:rPr/>
        <w:t>программе</w:t>
      </w:r>
      <w:r>
        <w:rPr>
          <w:spacing w:val="-8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старшего дошкольного возраста от 5</w:t>
      </w:r>
      <w:r>
        <w:rPr>
          <w:spacing w:val="40"/>
        </w:rPr>
        <w:t> </w:t>
      </w:r>
      <w:r>
        <w:rPr/>
        <w:t>до 6 лет</w:t>
      </w:r>
    </w:p>
    <w:p>
      <w:pPr>
        <w:pStyle w:val="BodyText"/>
        <w:spacing w:line="276" w:lineRule="auto"/>
        <w:ind w:right="137" w:firstLine="628"/>
      </w:pPr>
      <w:r>
        <w:rPr/>
        <w:t>Рабочая программа группы старшего дошкольного возраста от 5 до 6</w:t>
      </w:r>
      <w:r>
        <w:rPr>
          <w:spacing w:val="40"/>
        </w:rPr>
        <w:t> </w:t>
      </w:r>
      <w:r>
        <w:rPr/>
        <w:t>лет (далее - рабочая программа)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детского сада № 18</w:t>
      </w:r>
    </w:p>
    <w:p>
      <w:pPr>
        <w:pStyle w:val="BodyText"/>
        <w:spacing w:line="322" w:lineRule="exact"/>
      </w:pPr>
      <w:r>
        <w:rPr/>
        <w:t>«Мишутка»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МБДОУ</w:t>
      </w:r>
      <w:r>
        <w:rPr>
          <w:spacing w:val="-2"/>
        </w:rPr>
        <w:t> </w:t>
      </w:r>
      <w:r>
        <w:rPr/>
        <w:t>№</w:t>
      </w:r>
      <w:r>
        <w:rPr>
          <w:spacing w:val="-5"/>
        </w:rPr>
        <w:t> </w:t>
      </w:r>
      <w:r>
        <w:rPr/>
        <w:t>18</w:t>
      </w:r>
      <w:r>
        <w:rPr>
          <w:spacing w:val="-1"/>
        </w:rPr>
        <w:t> </w:t>
      </w:r>
      <w:r>
        <w:rPr>
          <w:spacing w:val="-2"/>
        </w:rPr>
        <w:t>«Мишутка»).</w:t>
      </w:r>
    </w:p>
    <w:p>
      <w:pPr>
        <w:pStyle w:val="BodyText"/>
        <w:spacing w:line="276" w:lineRule="auto" w:before="38"/>
        <w:ind w:right="135" w:firstLine="698"/>
      </w:pPr>
      <w:r>
        <w:rPr/>
        <w:t>Рабочая программа определяет содержание и организацию воспитательно - образовательного процесса для детей старшего дошкольного возраста от 5 до 6 лет.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</w:t>
      </w:r>
      <w:r>
        <w:rPr>
          <w:spacing w:val="-2"/>
        </w:rPr>
        <w:t>особенностей.</w:t>
      </w:r>
    </w:p>
    <w:p>
      <w:pPr>
        <w:pStyle w:val="BodyText"/>
        <w:spacing w:line="276" w:lineRule="auto"/>
        <w:ind w:right="136" w:firstLine="767"/>
      </w:pPr>
      <w:r>
        <w:rPr/>
        <w:t>Содержание рабочей программы обеспечивает развитие личности, мотивации и способностей детей в различных видах деятельности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Содержание указанных образовательных областей зависит от возрастных и индивидуальных особенностей детей, определяется целями и задачами реализуемой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>
      <w:pPr>
        <w:pStyle w:val="BodyText"/>
        <w:spacing w:line="276" w:lineRule="auto"/>
        <w:ind w:right="139" w:firstLine="837"/>
      </w:pPr>
      <w:r>
        <w:rPr/>
        <w:t>Целью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pStyle w:val="BodyText"/>
        <w:spacing w:line="276" w:lineRule="auto"/>
        <w:ind w:right="135" w:firstLine="767"/>
      </w:pPr>
      <w:r>
        <w:rPr/>
        <w:t>Программа обеспечивает развитие личности детей дошкольного возраста в</w:t>
      </w:r>
      <w:r>
        <w:rPr>
          <w:spacing w:val="-3"/>
        </w:rPr>
        <w:t> </w:t>
      </w:r>
      <w:r>
        <w:rPr/>
        <w:t>различных видах</w:t>
      </w:r>
      <w:r>
        <w:rPr>
          <w:spacing w:val="-2"/>
        </w:rPr>
        <w:t> </w:t>
      </w:r>
      <w:r>
        <w:rPr/>
        <w:t>общения и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 учетом</w:t>
      </w:r>
      <w:r>
        <w:rPr>
          <w:spacing w:val="-3"/>
        </w:rPr>
        <w:t> </w:t>
      </w:r>
      <w:r>
        <w:rPr/>
        <w:t>их возрастных, индивидуальных психологических и физиологических особенностей и направлена на решение следующих задач: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6" w:lineRule="auto" w:before="1" w:after="0"/>
        <w:ind w:left="2" w:right="139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1" w:after="0"/>
        <w:ind w:left="2" w:right="138" w:firstLine="0"/>
        <w:jc w:val="both"/>
        <w:rPr>
          <w:rFonts w:ascii="Symbol" w:hAnsi="Symbol"/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взаимоуважение,</w:t>
      </w:r>
      <w:r>
        <w:rPr>
          <w:spacing w:val="40"/>
          <w:sz w:val="28"/>
        </w:rPr>
        <w:t> </w:t>
      </w:r>
      <w:r>
        <w:rPr>
          <w:sz w:val="28"/>
        </w:rPr>
        <w:t>историческая</w:t>
      </w:r>
      <w:r>
        <w:rPr>
          <w:spacing w:val="40"/>
          <w:sz w:val="28"/>
        </w:rPr>
        <w:t> </w:t>
      </w:r>
      <w:r>
        <w:rPr>
          <w:sz w:val="28"/>
        </w:rPr>
        <w:t>память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преемственность</w:t>
      </w:r>
    </w:p>
    <w:p>
      <w:pPr>
        <w:pStyle w:val="ListParagraph"/>
        <w:spacing w:after="0" w:line="276" w:lineRule="auto"/>
        <w:jc w:val="both"/>
        <w:rPr>
          <w:rFonts w:ascii="Symbol" w:hAnsi="Symbol"/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line="276" w:lineRule="auto" w:before="67"/>
        <w:ind w:right="142"/>
      </w:pPr>
      <w:r>
        <w:rPr/>
        <w:t>поколений, единство народов России; создание условий для формирования ценностного отношения к окружающему миру, становления опыта действий</w:t>
      </w:r>
      <w:r>
        <w:rPr>
          <w:spacing w:val="40"/>
        </w:rPr>
        <w:t> </w:t>
      </w:r>
      <w:r>
        <w:rPr/>
        <w:t>и поступков на основе осмысления ценностей;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6" w:lineRule="auto" w:before="2" w:after="0"/>
        <w:ind w:left="2" w:right="146" w:firstLine="0"/>
        <w:jc w:val="both"/>
        <w:rPr>
          <w:rFonts w:ascii="Symbol" w:hAnsi="Symbol"/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76" w:lineRule="auto" w:before="1" w:after="0"/>
        <w:ind w:left="2" w:right="145" w:firstLine="0"/>
        <w:jc w:val="both"/>
        <w:rPr>
          <w:rFonts w:ascii="Symbol" w:hAnsi="Symbol"/>
          <w:sz w:val="28"/>
        </w:rPr>
      </w:pPr>
      <w:r>
        <w:rPr>
          <w:sz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73" w:lineRule="auto" w:before="0" w:after="0"/>
        <w:ind w:left="2" w:right="138" w:firstLine="0"/>
        <w:jc w:val="both"/>
        <w:rPr>
          <w:rFonts w:ascii="Symbol" w:hAnsi="Symbol"/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76" w:lineRule="auto" w:before="9" w:after="0"/>
        <w:ind w:left="2" w:right="136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76" w:lineRule="auto" w:before="0" w:after="0"/>
        <w:ind w:left="2" w:right="144" w:firstLine="0"/>
        <w:jc w:val="both"/>
        <w:rPr>
          <w:rFonts w:ascii="Symbol" w:hAnsi="Symbol"/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76" w:lineRule="auto" w:before="0" w:after="0"/>
        <w:ind w:left="2" w:right="143" w:firstLine="0"/>
        <w:jc w:val="left"/>
        <w:rPr>
          <w:rFonts w:ascii="Symbol" w:hAnsi="Symbol"/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pStyle w:val="BodyText"/>
        <w:tabs>
          <w:tab w:pos="1649" w:val="left" w:leader="none"/>
          <w:tab w:pos="1883" w:val="left" w:leader="none"/>
          <w:tab w:pos="1920" w:val="left" w:leader="none"/>
          <w:tab w:pos="2396" w:val="left" w:leader="none"/>
          <w:tab w:pos="2527" w:val="left" w:leader="none"/>
          <w:tab w:pos="3439" w:val="left" w:leader="none"/>
          <w:tab w:pos="3973" w:val="left" w:leader="none"/>
          <w:tab w:pos="4266" w:val="left" w:leader="none"/>
          <w:tab w:pos="4668" w:val="left" w:leader="none"/>
          <w:tab w:pos="5385" w:val="left" w:leader="none"/>
          <w:tab w:pos="5442" w:val="left" w:leader="none"/>
          <w:tab w:pos="5952" w:val="left" w:leader="none"/>
          <w:tab w:pos="6289" w:val="left" w:leader="none"/>
          <w:tab w:pos="6354" w:val="left" w:leader="none"/>
          <w:tab w:pos="6476" w:val="left" w:leader="none"/>
          <w:tab w:pos="7308" w:val="left" w:leader="none"/>
          <w:tab w:pos="7774" w:val="left" w:leader="none"/>
          <w:tab w:pos="7873" w:val="left" w:leader="none"/>
          <w:tab w:pos="7999" w:val="left" w:leader="none"/>
          <w:tab w:pos="8229" w:val="left" w:leader="none"/>
          <w:tab w:pos="8543" w:val="left" w:leader="none"/>
          <w:tab w:pos="9265" w:val="left" w:leader="none"/>
        </w:tabs>
        <w:ind w:right="137" w:firstLine="628"/>
        <w:jc w:val="left"/>
      </w:pPr>
      <w:r>
        <w:rPr>
          <w:spacing w:val="-2"/>
        </w:rPr>
        <w:t>Обязательная</w:t>
      </w:r>
      <w:r>
        <w:rPr/>
        <w:tab/>
        <w:tab/>
      </w:r>
      <w:r>
        <w:rPr>
          <w:spacing w:val="-2"/>
        </w:rPr>
        <w:t>часть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разработана</w:t>
      </w:r>
      <w:r>
        <w:rPr/>
        <w:tab/>
        <w:tab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основе Федеральной</w:t>
      </w:r>
      <w:r>
        <w:rPr/>
        <w:tab/>
        <w:tab/>
        <w:tab/>
      </w:r>
      <w:r>
        <w:rPr>
          <w:spacing w:val="-2"/>
        </w:rPr>
        <w:t>образовательной</w:t>
      </w:r>
      <w:r>
        <w:rPr/>
        <w:tab/>
        <w:tab/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>дошкольного</w:t>
      </w:r>
      <w:r>
        <w:rPr/>
        <w:tab/>
        <w:tab/>
      </w:r>
      <w:r>
        <w:rPr>
          <w:spacing w:val="-2"/>
        </w:rPr>
        <w:t>образования </w:t>
      </w:r>
      <w:hyperlink r:id="rId5">
        <w:r>
          <w:rPr>
            <w:color w:val="0000FF"/>
            <w:spacing w:val="-2"/>
            <w:u w:val="single" w:color="0000FF"/>
          </w:rPr>
          <w:t>https://firo.ranepa.ru/obrazovanie/fgos/98-kompleksniye-programmy/470-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  <w:u w:val="single" w:color="0000FF"/>
          </w:rPr>
          <w:t>programma-ot-rozhdeniya-do-shkoly</w:t>
        </w:r>
      </w:hyperlink>
      <w:r>
        <w:rPr>
          <w:color w:val="0000FF"/>
          <w:spacing w:val="80"/>
        </w:rPr>
        <w:t> </w:t>
      </w:r>
      <w:r>
        <w:rPr/>
        <w:t>в</w:t>
        <w:tab/>
      </w:r>
      <w:r>
        <w:rPr>
          <w:spacing w:val="-49"/>
        </w:rPr>
        <w:t> </w:t>
      </w:r>
      <w:r>
        <w:rPr/>
        <w:t>соответствии</w:t>
        <w:tab/>
        <w:tab/>
        <w:tab/>
        <w:t>с</w:t>
      </w:r>
      <w:r>
        <w:rPr>
          <w:spacing w:val="80"/>
        </w:rPr>
        <w:t> </w:t>
      </w:r>
      <w:r>
        <w:rPr/>
        <w:t>ФГОС</w:t>
        <w:tab/>
      </w:r>
      <w:r>
        <w:rPr>
          <w:spacing w:val="-2"/>
        </w:rPr>
        <w:t>дошкольного образования.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части,</w:t>
      </w:r>
      <w:r>
        <w:rPr/>
        <w:tab/>
      </w:r>
      <w:r>
        <w:rPr>
          <w:spacing w:val="-54"/>
        </w:rPr>
        <w:t> </w:t>
      </w:r>
      <w:r>
        <w:rPr/>
        <w:t>формируемой</w:t>
        <w:tab/>
        <w:tab/>
      </w:r>
      <w:r>
        <w:rPr>
          <w:spacing w:val="-2"/>
        </w:rPr>
        <w:t>участниками</w:t>
      </w:r>
      <w:r>
        <w:rPr/>
        <w:tab/>
      </w:r>
      <w:r>
        <w:rPr>
          <w:spacing w:val="-2"/>
        </w:rPr>
        <w:t>образовательных </w:t>
      </w:r>
      <w:r>
        <w:rPr/>
        <w:t>отношений,</w:t>
      </w:r>
      <w:r>
        <w:rPr>
          <w:spacing w:val="40"/>
        </w:rPr>
        <w:t> </w:t>
      </w:r>
      <w:r>
        <w:rPr/>
        <w:t>представлены</w:t>
      </w:r>
      <w:r>
        <w:rPr>
          <w:spacing w:val="40"/>
        </w:rPr>
        <w:t> </w:t>
      </w:r>
      <w:r>
        <w:rPr/>
        <w:t>Программы,</w:t>
      </w:r>
      <w:r>
        <w:rPr>
          <w:spacing w:val="40"/>
        </w:rPr>
        <w:t> </w:t>
      </w:r>
      <w:r>
        <w:rPr/>
        <w:t>направленные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нескольких</w:t>
      </w:r>
      <w:r>
        <w:rPr/>
        <w:tab/>
      </w:r>
      <w:r>
        <w:rPr>
          <w:spacing w:val="-2"/>
        </w:rPr>
        <w:t>образовательных</w:t>
      </w:r>
      <w:r>
        <w:rPr/>
        <w:tab/>
      </w:r>
      <w:r>
        <w:rPr>
          <w:spacing w:val="-2"/>
        </w:rPr>
        <w:t>областях,</w:t>
      </w:r>
      <w:r>
        <w:rPr/>
        <w:tab/>
      </w:r>
      <w:r>
        <w:rPr>
          <w:spacing w:val="-2"/>
        </w:rPr>
        <w:t>видах</w:t>
      </w:r>
      <w:r>
        <w:rPr/>
        <w:tab/>
        <w:tab/>
      </w:r>
      <w:r>
        <w:rPr>
          <w:spacing w:val="-2"/>
        </w:rPr>
        <w:t>деятельности</w:t>
      </w:r>
      <w:r>
        <w:rPr/>
        <w:tab/>
        <w:tab/>
      </w:r>
      <w:r>
        <w:rPr>
          <w:spacing w:val="-2"/>
        </w:rPr>
        <w:t>(далее</w:t>
      </w:r>
      <w:r>
        <w:rPr/>
        <w:tab/>
      </w:r>
      <w:r>
        <w:rPr>
          <w:spacing w:val="-10"/>
        </w:rPr>
        <w:t>- </w:t>
      </w:r>
      <w:r>
        <w:rPr/>
        <w:t>парциальные</w:t>
      </w:r>
      <w:r>
        <w:rPr>
          <w:spacing w:val="40"/>
        </w:rPr>
        <w:t> </w:t>
      </w:r>
      <w:r>
        <w:rPr/>
        <w:t>образовательные</w:t>
      </w:r>
      <w:r>
        <w:rPr>
          <w:spacing w:val="40"/>
        </w:rPr>
        <w:t> </w:t>
      </w:r>
      <w:r>
        <w:rPr/>
        <w:t>программы),</w:t>
      </w:r>
      <w:r>
        <w:rPr>
          <w:spacing w:val="40"/>
        </w:rPr>
        <w:t> </w:t>
      </w:r>
      <w:r>
        <w:rPr/>
        <w:t>технологии,</w:t>
      </w:r>
      <w:r>
        <w:rPr>
          <w:spacing w:val="40"/>
        </w:rPr>
        <w:t> </w:t>
      </w:r>
      <w:r>
        <w:rPr/>
        <w:t>методики,</w:t>
      </w:r>
      <w:r>
        <w:rPr>
          <w:spacing w:val="40"/>
        </w:rPr>
        <w:t> </w:t>
      </w:r>
      <w:r>
        <w:rPr/>
        <w:t>формы организации образовательной работы: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  <w:tab w:pos="2765" w:val="left" w:leader="none"/>
          <w:tab w:pos="4911" w:val="left" w:leader="none"/>
          <w:tab w:pos="7752" w:val="left" w:leader="none"/>
        </w:tabs>
        <w:spacing w:line="240" w:lineRule="auto" w:before="0" w:after="0"/>
        <w:ind w:left="721" w:right="0" w:hanging="719"/>
        <w:jc w:val="both"/>
        <w:rPr>
          <w:rFonts w:ascii="Symbol" w:hAnsi="Symbol"/>
          <w:color w:val="1F1F1F"/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</w:p>
    <w:p>
      <w:pPr>
        <w:pStyle w:val="BodyText"/>
        <w:ind w:left="721" w:right="368"/>
      </w:pPr>
      <w:r>
        <w:rPr/>
        <w:t>«Социокультурные истоки» под редакцией И.А. Кузьмина (для детей в возрасте от 3 до 7 лет); </w:t>
      </w:r>
      <w:r>
        <w:rPr>
          <w:color w:val="1F1F1F"/>
        </w:rPr>
        <w:t>(</w:t>
      </w:r>
      <w:hyperlink r:id="rId6">
        <w:r>
          <w:rPr>
            <w:color w:val="0000FF"/>
            <w:u w:val="single" w:color="0000FF"/>
          </w:rPr>
          <w:t>ссылка на Рекомендации по применению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программы "Социокультурные истоки"</w:t>
        </w:r>
      </w:hyperlink>
      <w:r>
        <w:rPr>
          <w:color w:val="1F1F1F"/>
        </w:rPr>
        <w:t>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367" w:hanging="720"/>
        <w:jc w:val="both"/>
        <w:rPr>
          <w:rFonts w:ascii="Symbol" w:hAnsi="Symbol"/>
          <w:color w:val="1F1F1F"/>
          <w:sz w:val="28"/>
        </w:rPr>
      </w:pPr>
      <w:r>
        <w:rPr>
          <w:color w:val="1F1F1F"/>
          <w:sz w:val="28"/>
        </w:rPr>
        <w:t>Основные положения парциальной программы «Феникс». Шахматы для дошкольников» под редакцией А.В. Кузина, Н.В. Коновалова, Н.С. Скаржинского (для детей в возрасте от 4 до 7 лет) </w:t>
      </w:r>
      <w:hyperlink r:id="rId7">
        <w:r>
          <w:rPr>
            <w:color w:val="0000FF"/>
            <w:sz w:val="28"/>
            <w:u w:val="single" w:color="0000FF"/>
          </w:rPr>
          <w:t>(Ссылка на</w:t>
        </w:r>
      </w:hyperlink>
      <w:r>
        <w:rPr>
          <w:color w:val="0000FF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программу «Феникс»</w:t>
        </w:r>
      </w:hyperlink>
      <w:r>
        <w:rPr>
          <w:color w:val="1F1F1F"/>
          <w:sz w:val="28"/>
        </w:rPr>
        <w:t>);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0" w:after="0"/>
        <w:ind w:left="721" w:right="369" w:hanging="720"/>
        <w:jc w:val="both"/>
        <w:rPr>
          <w:rFonts w:ascii="Symbol" w:hAnsi="Symbol"/>
          <w:color w:val="1F1F1F"/>
          <w:sz w:val="28"/>
        </w:rPr>
      </w:pPr>
      <w:r>
        <w:rPr>
          <w:color w:val="1F1F1F"/>
          <w:sz w:val="28"/>
        </w:rPr>
        <w:t>Методическое пособие «Подготовка к обучению грамоте детей 3-7 лет. Программа, рекомендации, сценарии». Л.Е.Журовой, М.И.Кузнецовой.</w:t>
      </w:r>
      <w:r>
        <w:rPr>
          <w:color w:val="1F1F1F"/>
          <w:spacing w:val="37"/>
          <w:sz w:val="28"/>
        </w:rPr>
        <w:t> </w:t>
      </w:r>
      <w:r>
        <w:rPr>
          <w:color w:val="1F1F1F"/>
          <w:sz w:val="28"/>
        </w:rPr>
        <w:t>–</w:t>
      </w:r>
      <w:r>
        <w:rPr>
          <w:color w:val="1F1F1F"/>
          <w:spacing w:val="37"/>
          <w:sz w:val="28"/>
        </w:rPr>
        <w:t> </w:t>
      </w:r>
      <w:r>
        <w:rPr>
          <w:color w:val="1F1F1F"/>
          <w:sz w:val="28"/>
        </w:rPr>
        <w:t>М.:Вента-Граф,</w:t>
      </w:r>
      <w:r>
        <w:rPr>
          <w:color w:val="1F1F1F"/>
          <w:spacing w:val="35"/>
          <w:sz w:val="28"/>
        </w:rPr>
        <w:t> </w:t>
      </w:r>
      <w:r>
        <w:rPr>
          <w:color w:val="1F1F1F"/>
          <w:sz w:val="28"/>
        </w:rPr>
        <w:t>2019</w:t>
      </w:r>
      <w:r>
        <w:rPr>
          <w:color w:val="1F1F1F"/>
          <w:spacing w:val="36"/>
          <w:sz w:val="28"/>
        </w:rPr>
        <w:t> </w:t>
      </w:r>
      <w:r>
        <w:rPr>
          <w:color w:val="1F1F1F"/>
          <w:sz w:val="28"/>
        </w:rPr>
        <w:t>(</w:t>
      </w:r>
      <w:r>
        <w:rPr>
          <w:color w:val="1F1F1F"/>
          <w:spacing w:val="35"/>
          <w:sz w:val="28"/>
        </w:rPr>
        <w:t> </w:t>
      </w:r>
      <w:r>
        <w:rPr>
          <w:color w:val="1F1F1F"/>
          <w:sz w:val="28"/>
        </w:rPr>
        <w:t>для</w:t>
      </w:r>
      <w:r>
        <w:rPr>
          <w:color w:val="1F1F1F"/>
          <w:spacing w:val="36"/>
          <w:sz w:val="28"/>
        </w:rPr>
        <w:t> </w:t>
      </w:r>
      <w:r>
        <w:rPr>
          <w:color w:val="1F1F1F"/>
          <w:sz w:val="28"/>
        </w:rPr>
        <w:t>детей</w:t>
      </w:r>
      <w:r>
        <w:rPr>
          <w:color w:val="1F1F1F"/>
          <w:spacing w:val="36"/>
          <w:sz w:val="28"/>
        </w:rPr>
        <w:t> </w:t>
      </w:r>
      <w:r>
        <w:rPr>
          <w:color w:val="1F1F1F"/>
          <w:sz w:val="28"/>
        </w:rPr>
        <w:t>от</w:t>
      </w:r>
      <w:r>
        <w:rPr>
          <w:color w:val="1F1F1F"/>
          <w:spacing w:val="35"/>
          <w:sz w:val="28"/>
        </w:rPr>
        <w:t> </w:t>
      </w:r>
      <w:r>
        <w:rPr>
          <w:color w:val="1F1F1F"/>
          <w:sz w:val="28"/>
        </w:rPr>
        <w:t>3</w:t>
      </w:r>
      <w:r>
        <w:rPr>
          <w:color w:val="1F1F1F"/>
          <w:spacing w:val="34"/>
          <w:sz w:val="28"/>
        </w:rPr>
        <w:t> </w:t>
      </w:r>
      <w:r>
        <w:rPr>
          <w:color w:val="1F1F1F"/>
          <w:sz w:val="28"/>
        </w:rPr>
        <w:t>до</w:t>
      </w:r>
      <w:r>
        <w:rPr>
          <w:color w:val="1F1F1F"/>
          <w:spacing w:val="36"/>
          <w:sz w:val="28"/>
        </w:rPr>
        <w:t> </w:t>
      </w:r>
      <w:r>
        <w:rPr>
          <w:color w:val="1F1F1F"/>
          <w:sz w:val="28"/>
        </w:rPr>
        <w:t>7</w:t>
      </w:r>
      <w:r>
        <w:rPr>
          <w:color w:val="1F1F1F"/>
          <w:spacing w:val="36"/>
          <w:sz w:val="28"/>
        </w:rPr>
        <w:t> </w:t>
      </w:r>
      <w:r>
        <w:rPr>
          <w:color w:val="1F1F1F"/>
          <w:sz w:val="28"/>
        </w:rPr>
        <w:t>лет).</w:t>
      </w:r>
    </w:p>
    <w:p>
      <w:pPr>
        <w:pStyle w:val="ListParagraph"/>
        <w:spacing w:after="0" w:line="240" w:lineRule="auto"/>
        <w:jc w:val="both"/>
        <w:rPr>
          <w:rFonts w:ascii="Symbol" w:hAnsi="Symbol"/>
          <w:sz w:val="28"/>
        </w:rPr>
        <w:sectPr>
          <w:pgSz w:w="11910" w:h="16840"/>
          <w:pgMar w:top="1040" w:bottom="280" w:left="1700" w:right="708"/>
        </w:sectPr>
      </w:pPr>
    </w:p>
    <w:p>
      <w:pPr>
        <w:pStyle w:val="BodyText"/>
        <w:spacing w:line="242" w:lineRule="auto" w:before="67"/>
        <w:ind w:left="721" w:right="317"/>
        <w:jc w:val="left"/>
      </w:pPr>
      <w:r>
        <w:rPr>
          <w:color w:val="0000FF"/>
          <w:spacing w:val="-2"/>
          <w:u w:val="single" w:color="0000FF"/>
        </w:rPr>
        <w:t>http://русалочка79.рф/wp-content/uploads/2022/11/Обусение-</w:t>
      </w:r>
      <w:r>
        <w:rPr>
          <w:color w:val="0000FF"/>
          <w:spacing w:val="-2"/>
        </w:rPr>
        <w:t> </w:t>
      </w:r>
      <w:r>
        <w:rPr>
          <w:color w:val="0000FF"/>
          <w:spacing w:val="-2"/>
          <w:u w:val="single" w:color="0000FF"/>
        </w:rPr>
        <w:t>грамоте.pdf</w:t>
      </w:r>
      <w:r>
        <w:rPr>
          <w:spacing w:val="-2"/>
        </w:rPr>
        <w:t>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337" w:lineRule="exact" w:before="0" w:after="0"/>
        <w:ind w:left="721" w:right="0" w:hanging="719"/>
        <w:jc w:val="left"/>
        <w:rPr>
          <w:rFonts w:ascii="Symbol" w:hAnsi="Symbol"/>
          <w:color w:val="1F1F1F"/>
          <w:sz w:val="28"/>
        </w:rPr>
      </w:pPr>
      <w:r>
        <w:rPr>
          <w:color w:val="1F1F1F"/>
          <w:sz w:val="28"/>
        </w:rPr>
        <w:t>Парциальная</w:t>
      </w:r>
      <w:r>
        <w:rPr>
          <w:color w:val="1F1F1F"/>
          <w:spacing w:val="43"/>
          <w:sz w:val="28"/>
        </w:rPr>
        <w:t> </w:t>
      </w:r>
      <w:r>
        <w:rPr>
          <w:color w:val="1F1F1F"/>
          <w:sz w:val="28"/>
        </w:rPr>
        <w:t>программа</w:t>
      </w:r>
      <w:r>
        <w:rPr>
          <w:color w:val="1F1F1F"/>
          <w:spacing w:val="46"/>
          <w:sz w:val="28"/>
        </w:rPr>
        <w:t> </w:t>
      </w:r>
      <w:r>
        <w:rPr>
          <w:color w:val="1F1F1F"/>
          <w:sz w:val="28"/>
        </w:rPr>
        <w:t>патриотического</w:t>
      </w:r>
      <w:r>
        <w:rPr>
          <w:color w:val="1F1F1F"/>
          <w:spacing w:val="47"/>
          <w:sz w:val="28"/>
        </w:rPr>
        <w:t> </w:t>
      </w:r>
      <w:r>
        <w:rPr>
          <w:color w:val="1F1F1F"/>
          <w:sz w:val="28"/>
        </w:rPr>
        <w:t>воспитания</w:t>
      </w:r>
      <w:r>
        <w:rPr>
          <w:color w:val="1F1F1F"/>
          <w:spacing w:val="45"/>
          <w:sz w:val="28"/>
        </w:rPr>
        <w:t> </w:t>
      </w:r>
      <w:r>
        <w:rPr>
          <w:color w:val="1F1F1F"/>
          <w:sz w:val="28"/>
        </w:rPr>
        <w:t>детей</w:t>
      </w:r>
      <w:r>
        <w:rPr>
          <w:color w:val="1F1F1F"/>
          <w:spacing w:val="46"/>
          <w:sz w:val="28"/>
        </w:rPr>
        <w:t> </w:t>
      </w:r>
      <w:r>
        <w:rPr>
          <w:color w:val="1F1F1F"/>
          <w:sz w:val="28"/>
        </w:rPr>
        <w:t>3-7</w:t>
      </w:r>
      <w:r>
        <w:rPr>
          <w:color w:val="1F1F1F"/>
          <w:spacing w:val="47"/>
          <w:sz w:val="28"/>
        </w:rPr>
        <w:t> </w:t>
      </w:r>
      <w:r>
        <w:rPr>
          <w:color w:val="1F1F1F"/>
          <w:spacing w:val="-5"/>
          <w:sz w:val="28"/>
        </w:rPr>
        <w:t>лет</w:t>
      </w:r>
    </w:p>
    <w:p>
      <w:pPr>
        <w:pStyle w:val="BodyText"/>
        <w:tabs>
          <w:tab w:pos="2000" w:val="left" w:leader="none"/>
          <w:tab w:pos="3449" w:val="left" w:leader="none"/>
          <w:tab w:pos="4510" w:val="left" w:leader="none"/>
          <w:tab w:pos="6624" w:val="left" w:leader="none"/>
          <w:tab w:pos="8469" w:val="left" w:leader="none"/>
        </w:tabs>
        <w:ind w:left="721" w:right="371"/>
        <w:jc w:val="left"/>
      </w:pPr>
      <w:r>
        <w:rPr>
          <w:color w:val="1F1F1F"/>
          <w:spacing w:val="-2"/>
        </w:rPr>
        <w:t>«Юный</w:t>
      </w:r>
      <w:r>
        <w:rPr>
          <w:color w:val="1F1F1F"/>
        </w:rPr>
        <w:tab/>
      </w:r>
      <w:r>
        <w:rPr>
          <w:color w:val="1F1F1F"/>
          <w:spacing w:val="-2"/>
        </w:rPr>
        <w:t>патриот»</w:t>
      </w:r>
      <w:r>
        <w:rPr>
          <w:color w:val="1F1F1F"/>
        </w:rPr>
        <w:tab/>
      </w:r>
      <w:r>
        <w:rPr>
          <w:color w:val="1F1F1F"/>
          <w:spacing w:val="-4"/>
        </w:rPr>
        <w:t>(ООО</w:t>
      </w:r>
      <w:r>
        <w:rPr>
          <w:color w:val="1F1F1F"/>
        </w:rPr>
        <w:tab/>
      </w:r>
      <w:r>
        <w:rPr>
          <w:color w:val="1F1F1F"/>
          <w:spacing w:val="-2"/>
        </w:rPr>
        <w:t>«Издательство</w:t>
      </w:r>
      <w:r>
        <w:rPr>
          <w:color w:val="1F1F1F"/>
        </w:rPr>
        <w:tab/>
      </w:r>
      <w:r>
        <w:rPr>
          <w:color w:val="1F1F1F"/>
          <w:spacing w:val="-2"/>
        </w:rPr>
        <w:t>«ВАРСОН»,</w:t>
      </w:r>
      <w:r>
        <w:rPr>
          <w:color w:val="1F1F1F"/>
        </w:rPr>
        <w:tab/>
      </w:r>
      <w:r>
        <w:rPr>
          <w:color w:val="1F1F1F"/>
          <w:spacing w:val="-2"/>
        </w:rPr>
        <w:t>2022) </w:t>
      </w:r>
      <w:hyperlink r:id="rId8">
        <w:r>
          <w:rPr>
            <w:color w:val="0000FF"/>
            <w:spacing w:val="-2"/>
            <w:u w:val="single" w:color="0000FF"/>
          </w:rPr>
          <w:t>https://npctio.ru/yuniy_patriot</w:t>
        </w:r>
      </w:hyperlink>
    </w:p>
    <w:p>
      <w:pPr>
        <w:pStyle w:val="BodyText"/>
        <w:spacing w:before="1"/>
        <w:ind w:left="597"/>
        <w:jc w:val="left"/>
      </w:pPr>
      <w:r>
        <w:rPr/>
        <w:t>Для</w:t>
      </w:r>
      <w:r>
        <w:rPr>
          <w:spacing w:val="-9"/>
        </w:rPr>
        <w:t> </w:t>
      </w:r>
      <w:r>
        <w:rPr/>
        <w:t>реализации</w:t>
      </w:r>
      <w:r>
        <w:rPr>
          <w:spacing w:val="-7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11"/>
        </w:rPr>
        <w:t> </w:t>
      </w:r>
      <w:r>
        <w:rPr/>
        <w:t>областей</w:t>
      </w:r>
      <w:r>
        <w:rPr>
          <w:spacing w:val="-9"/>
        </w:rPr>
        <w:t> </w:t>
      </w:r>
      <w:r>
        <w:rPr>
          <w:spacing w:val="-2"/>
        </w:rPr>
        <w:t>используются: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4" w:after="0"/>
        <w:ind w:left="568" w:right="372" w:hanging="567"/>
        <w:jc w:val="both"/>
        <w:rPr>
          <w:rFonts w:ascii="Symbol" w:hAnsi="Symbol"/>
          <w:color w:val="1F1F1F"/>
          <w:sz w:val="28"/>
        </w:rPr>
      </w:pPr>
      <w:r>
        <w:rPr>
          <w:b/>
          <w:sz w:val="28"/>
        </w:rPr>
        <w:t>Проект «Край, в котором я живу. Моя Югра» </w:t>
      </w:r>
      <w:r>
        <w:rPr>
          <w:sz w:val="28"/>
        </w:rPr>
        <w:t>(для детей от 5 до 7 лет) под редакцией Зашихина Е. С., Киричек Е. А., Просняковой Т.Н. Направлен на формирование знаний старших дошкольников о нашей Родине — России — и об одной из её составных частей, Ханты- Мансийском автономном округе-Югре, сложившемуся быту народов региона, природе Югры, её растительному и животному миру, традициям бережного отношения человека к окружающей среде </w:t>
      </w:r>
      <w:r>
        <w:rPr>
          <w:color w:val="0000FF"/>
          <w:spacing w:val="-2"/>
          <w:sz w:val="28"/>
          <w:u w:val="single" w:color="0000FF"/>
        </w:rPr>
        <w:t>https://крайродной.дети/об-учебном-пособии-моя-югра/</w:t>
      </w:r>
      <w:r>
        <w:rPr>
          <w:spacing w:val="-2"/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372" w:hanging="567"/>
        <w:jc w:val="both"/>
        <w:rPr>
          <w:rFonts w:ascii="Symbol" w:hAnsi="Symbol"/>
          <w:color w:val="1F1F1F"/>
          <w:sz w:val="28"/>
        </w:rPr>
      </w:pPr>
      <w:r>
        <w:rPr>
          <w:b/>
          <w:sz w:val="28"/>
        </w:rPr>
        <w:t>Проект «Енотик». </w:t>
      </w:r>
      <w:r>
        <w:rPr>
          <w:sz w:val="28"/>
        </w:rPr>
        <w:t>Концепция базовых направлений естественно- научного, инженерно-технического образования детей дошкольного возраста для детей (от 5 до 7 лет). Направлена на популяризацию естественнонаучного и инженерно-технического творчества детей для целенаправленного создания условий, способствующих развитию каждого ребенка (учитывая его возрастные и индивидуальные способности и особенности) </w:t>
      </w:r>
      <w:hyperlink r:id="rId9">
        <w:r>
          <w:rPr>
            <w:color w:val="0000FF"/>
            <w:sz w:val="28"/>
            <w:u w:val="single" w:color="0000FF"/>
          </w:rPr>
          <w:t>https://enotikmir.ru/</w:t>
        </w:r>
      </w:hyperlink>
      <w:r>
        <w:rPr>
          <w:color w:val="0000FF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right="136" w:firstLine="698"/>
      </w:pPr>
      <w:r>
        <w:rPr/>
        <w:t>Программа соответствует основным положениям возрастной психологии и дошкольной педагогики, и выстроена по принципу развивающего образования, целью которого является развитие ребенка. Решение образовательных задач осуществляется в рамках образовательной деятельности, осуществляемой в процессе организации различных видов детской деятельности в том числе в ходе режимных процессов; самостоятельной деятельности детей, а так же при активном взаимодействии с семьями воспитанников. Рабочая программа содержит: календарный образовательный (учебный) план, календарный образовательный (учебный график), расписание занятий, календарный план воспитательной работы.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" w:hanging="348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2085" w:right="1113" w:hanging="1112"/>
      <w:jc w:val="both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ro.ranepa.ru/obrazovanie/fgos/98-kompleksniye-programmy/470-programma-ot-rozhdeniya-do-shkoly" TargetMode="External"/><Relationship Id="rId6" Type="http://schemas.openxmlformats.org/officeDocument/2006/relationships/hyperlink" Target="http://www.istoky-co.ru/Recomend_doshkolnoe_obr.pdf" TargetMode="External"/><Relationship Id="rId7" Type="http://schemas.openxmlformats.org/officeDocument/2006/relationships/hyperlink" Target="https://firo.ranepa.ru/files/docs/do/navigator_obraz_programm/programma_feniks.pdf" TargetMode="External"/><Relationship Id="rId8" Type="http://schemas.openxmlformats.org/officeDocument/2006/relationships/hyperlink" Target="https://npctio.ru/yuniy_patriot" TargetMode="External"/><Relationship Id="rId9" Type="http://schemas.openxmlformats.org/officeDocument/2006/relationships/hyperlink" Target="https://enotikmir.ru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terms:created xsi:type="dcterms:W3CDTF">2025-03-10T05:41:33Z</dcterms:created>
  <dcterms:modified xsi:type="dcterms:W3CDTF">2025-03-10T05:41:33Z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